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Demo File — Three Abstracts (Activity 2: ChatGPT Edu)</w:t>
      </w:r>
    </w:p>
    <w:p>
      <w:pPr>
        <w:spacing w:after="200"/>
      </w:pPr>
      <w:r>
        <w:rPr>
          <w:i/>
          <w:iCs/>
          <w:color w:val="5A6571"/>
          <w:sz w:val="20"/>
          <w:szCs w:val="20"/>
        </w:rPr>
        <w:t xml:space="preserve">Synthetic teaching material for AI Workshops for DSPH, Workshop 2. These abstracts are fictional composites written for practice — they are not real publications and must not be cited.</w:t>
      </w:r>
    </w:p>
    <w:p>
      <w:pPr>
        <w:pStyle w:val="Heading2"/>
      </w:pPr>
      <w:r>
        <w:t xml:space="preserve">Abstract 1 — Street Lighting and Nighttime Pedestrian Crashes</w:t>
      </w:r>
    </w:p>
    <w:p>
      <w:pPr>
        <w:spacing w:after="160"/>
      </w:pPr>
      <w:r>
        <w:t xml:space="preserve">Background: Nighttime conditions account for a disproportionate share of fatal pedestrian crashes in urban areas. Methods: We conducted a citywide, longitudinal study of 4,200 street segments in a large U.S. city (2018–2024), linking police-reported nighttime pedestrian crashes to a municipal LED lighting-upgrade program using staggered difference-in-differences models adjusted for traffic volume and land use. Results: Upgraded segments showed a 21% reduction in nighttime pedestrian crashes (95% CI: 12–29%) relative to comparison segments, with larger effects on segments with transit stops. Daytime crashes were unchanged, supporting a lighting-specific mechanism. Conclusions: LED upgrades were associated with meaningful reductions in nighttime pedestrian crashes and may be a cost-effective component of Vision Zero strategies.</w:t>
      </w:r>
    </w:p>
    <w:p>
      <w:pPr>
        <w:pStyle w:val="Heading2"/>
      </w:pPr>
      <w:r>
        <w:t xml:space="preserve">Abstract 2 — Speed-Limit Reductions on Urban Arterials</w:t>
      </w:r>
    </w:p>
    <w:p>
      <w:pPr>
        <w:spacing w:after="160"/>
      </w:pPr>
      <w:r>
        <w:t xml:space="preserve">Background: Vehicle speed is the strongest modifiable predictor of pedestrian injury severity. Methods: Interrupted time-series analysis of severe and fatal pedestrian injuries on 68 urban arterial corridors in three U.S. cities that reduced posted speed limits from 30 to 25 mph (2019–2023), with 132 matched comparison corridors. Results: Corridors with reduced limits experienced an 11% decline in severe pedestrian injuries (95% CI: 4–18%) and a 0.9 mph mean reduction in 85th-percentile operating speeds. Effects were concentrated in corridors that paired the limit change with signal retiming; signage-only corridors showed smaller, non-significant changes. Conclusions: Speed-limit reductions reduced severe pedestrian injuries primarily where paired with operational changes.</w:t>
      </w:r>
    </w:p>
    <w:p>
      <w:pPr>
        <w:pStyle w:val="Heading2"/>
      </w:pPr>
      <w:r>
        <w:t xml:space="preserve">Abstract 3 — Computer-Vision Audit of Crosswalk Quality</w:t>
      </w:r>
    </w:p>
    <w:p>
      <w:pPr>
        <w:spacing w:after="160"/>
      </w:pPr>
      <w:r>
        <w:t xml:space="preserve">Background: Manual street audits are the standard for measuring pedestrian infrastructure but are slow and costly at city scale. Methods: We trained a computer-vision model to rate marked crosswalk quality (visibility, marking wear, curb ramp presence) from street-level imagery at 2,000 signalized intersections, validated against in-person audits at a stratified random sample of 250 intersections. Results: Model ratings agreed with in-person audits at 89% of intersections (weighted kappa = 0.81). Lower crosswalk quality was independently associated with higher five-year pedestrian crash counts (adjusted IRR 1.34, 95% CI: 1.18–1.52, lowest vs. highest quality tertile). Conclusions: Automated audits can approximate in-person data collection and identify high-risk intersections for targeted maintenance.</w:t>
      </w:r>
    </w:p>
    <w:p>
      <w:pPr>
        <w:pStyle w:val="Heading2"/>
      </w:pPr>
      <w:r>
        <w:t xml:space="preserve">The Worked Prompt (Summarize-Then-Act)</w:t>
      </w:r>
    </w:p>
    <w:p>
      <w:pPr>
        <w:spacing w:after="160"/>
      </w:pPr>
      <w:r>
        <w:rPr>
          <w:rFonts w:ascii="Consolas" w:cs="Consolas" w:eastAsia="Consolas" w:hAnsi="Consolas"/>
          <w:sz w:val="21"/>
          <w:szCs w:val="21"/>
        </w:rPr>
        <w:t xml:space="preserve">Summarize each abstract as one row of a table: population, method, key finding. Then draft a 3-sentence email to my research team on what these mean for our streetlight and injury analysis.</w:t>
      </w:r>
    </w:p>
    <w:p>
      <w:pPr>
        <w:pStyle w:val="Heading2"/>
      </w:pPr>
      <w:r>
        <w:t xml:space="preserve">Iteration Rounds to Demonstrate</w:t>
      </w:r>
    </w:p>
    <w:p>
      <w:pPr>
        <w:pStyle w:val="ListParagraph"/>
        <w:numPr>
          <w:ilvl w:val="0"/>
          <w:numId w:val="2"/>
        </w:numPr>
        <w:spacing w:after="100"/>
      </w:pPr>
      <w:r>
        <w:t xml:space="preserve">Round 2: Cut it to half the length. Make the findings column quantitative — effect sizes, not adjectives.</w:t>
      </w:r>
    </w:p>
    <w:p>
      <w:pPr>
        <w:pStyle w:val="ListParagraph"/>
        <w:numPr>
          <w:ilvl w:val="0"/>
          <w:numId w:val="2"/>
        </w:numPr>
        <w:spacing w:after="100"/>
      </w:pPr>
      <w:r>
        <w:t xml:space="preserve">Round 3: Add a column rating each study's relevance to our project, 1–3, with a one-phrase justification.</w:t>
      </w:r>
    </w:p>
    <w:p>
      <w:pPr>
        <w:spacing w:after="200"/>
      </w:pPr>
      <w:r>
        <w:rPr>
          <w:i/>
          <w:iCs/>
          <w:color w:val="5A6571"/>
          <w:sz w:val="20"/>
          <w:szCs w:val="20"/>
        </w:rPr>
        <w:t xml:space="preserve">Verify step: check every number in the table against the abstracts above. At least one is easy to mangle — the CI ranges.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3"/>
        <w:szCs w:val="23"/>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240"/>
      <w:outlineLvl w:val="0"/>
    </w:pPr>
    <w:rPr>
      <w:rFonts w:ascii="Arial" w:cs="Arial" w:eastAsia="Arial" w:hAnsi="Arial"/>
      <w:b/>
      <w:bCs/>
      <w:color w:val="07294D"/>
      <w:sz w:val="32"/>
      <w:szCs w:val="32"/>
    </w:rPr>
  </w:style>
  <w:style w:type="paragraph" w:styleId="Heading2">
    <w:name w:val="Heading 2"/>
    <w:basedOn w:val="Normal"/>
    <w:next w:val="Normal"/>
    <w:qFormat/>
    <w:pPr>
      <w:spacing w:after="140" w:before="200"/>
      <w:outlineLvl w:val="1"/>
    </w:pPr>
    <w:rPr>
      <w:rFonts w:ascii="Arial" w:cs="Arial" w:eastAsia="Arial" w:hAnsi="Arial"/>
      <w:b/>
      <w:bCs/>
      <w:color w:val="006699"/>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2026-07-07T16:34:47.465Z</dcterms:created>
  <dcterms:modified xsi:type="dcterms:W3CDTF">2026-07-07T16:34:47.465Z</dcterms:modified>
</cp:coreProperties>
</file>

<file path=docProps/custom.xml><?xml version="1.0" encoding="utf-8"?>
<Properties xmlns="http://schemas.openxmlformats.org/officeDocument/2006/custom-properties" xmlns:vt="http://schemas.openxmlformats.org/officeDocument/2006/docPropsVTypes"/>
</file>